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Calibri" w:ascii="Calibri" w:hAnsi="Calibri"/>
          <w:b/>
          <w:bCs/>
          <w:sz w:val="36"/>
          <w:szCs w:val="36"/>
        </w:rPr>
        <w:t xml:space="preserve">Faktúry - </w:t>
      </w:r>
      <w:r>
        <w:rPr>
          <w:rFonts w:cs="Calibri" w:ascii="Calibri" w:hAnsi="Calibri"/>
          <w:b/>
          <w:bCs/>
          <w:sz w:val="36"/>
          <w:szCs w:val="36"/>
        </w:rPr>
        <w:t>Jún</w:t>
      </w:r>
      <w:r>
        <w:rPr>
          <w:rFonts w:cs="Calibri" w:ascii="Calibri" w:hAnsi="Calibri"/>
          <w:b/>
          <w:bCs/>
          <w:sz w:val="36"/>
          <w:szCs w:val="36"/>
        </w:rPr>
        <w:t xml:space="preserve"> 202</w:t>
      </w:r>
      <w:r>
        <w:rPr>
          <w:rFonts w:cs="Calibri" w:ascii="Calibri" w:hAnsi="Calibri"/>
          <w:b/>
          <w:bCs/>
          <w:sz w:val="36"/>
          <w:szCs w:val="36"/>
        </w:rPr>
        <w:t>2</w:t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tbl>
      <w:tblPr>
        <w:tblW w:w="9665" w:type="dxa"/>
        <w:jc w:val="left"/>
        <w:tblInd w:w="56" w:type="dxa"/>
        <w:tblLayout w:type="fixed"/>
        <w:tblCellMar>
          <w:top w:w="55" w:type="dxa"/>
          <w:left w:w="56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1079"/>
        <w:gridCol w:w="2431"/>
        <w:gridCol w:w="1250"/>
        <w:gridCol w:w="1134"/>
        <w:gridCol w:w="1470"/>
        <w:gridCol w:w="2300"/>
      </w:tblGrid>
      <w:tr>
        <w:trPr/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Obsahtabuky"/>
              <w:widowControl w:val="false"/>
              <w:jc w:val="center"/>
              <w:rPr/>
            </w:pPr>
            <w:r>
              <w:rPr>
                <w:rFonts w:cs="Calibri" w:ascii="Calibri" w:hAnsi="Calibri"/>
                <w:b/>
                <w:bCs/>
                <w:sz w:val="22"/>
                <w:szCs w:val="22"/>
              </w:rPr>
              <w:t>Číslo</w:t>
            </w:r>
          </w:p>
          <w:p>
            <w:pPr>
              <w:pStyle w:val="Obsahtabuky"/>
              <w:widowControl w:val="false"/>
              <w:jc w:val="center"/>
              <w:rPr/>
            </w:pPr>
            <w:r>
              <w:rPr>
                <w:rFonts w:cs="Calibri" w:ascii="Calibri" w:hAnsi="Calibri"/>
                <w:b/>
                <w:bCs/>
                <w:sz w:val="22"/>
                <w:szCs w:val="22"/>
              </w:rPr>
              <w:t>faktúry</w:t>
            </w:r>
          </w:p>
        </w:tc>
        <w:tc>
          <w:tcPr>
            <w:tcW w:w="2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Obsahtabuky"/>
              <w:widowControl w:val="false"/>
              <w:jc w:val="center"/>
              <w:rPr/>
            </w:pPr>
            <w:r>
              <w:rPr>
                <w:rFonts w:cs="Calibri" w:ascii="Calibri" w:hAnsi="Calibri"/>
                <w:b/>
                <w:bCs/>
                <w:sz w:val="22"/>
                <w:szCs w:val="22"/>
              </w:rPr>
              <w:t>Názov dodávateľa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Obsahtabuky"/>
              <w:widowControl w:val="false"/>
              <w:jc w:val="center"/>
              <w:rPr/>
            </w:pPr>
            <w:r>
              <w:rPr>
                <w:rFonts w:cs="Calibri" w:ascii="Calibri" w:hAnsi="Calibri"/>
                <w:b/>
                <w:bCs/>
                <w:sz w:val="22"/>
                <w:szCs w:val="22"/>
              </w:rPr>
              <w:t>Fakturovaná</w:t>
            </w:r>
          </w:p>
          <w:p>
            <w:pPr>
              <w:pStyle w:val="Obsahtabuky"/>
              <w:widowControl w:val="false"/>
              <w:jc w:val="center"/>
              <w:rPr/>
            </w:pPr>
            <w:r>
              <w:rPr>
                <w:rFonts w:cs="Calibri" w:ascii="Calibri" w:hAnsi="Calibri"/>
                <w:b/>
                <w:bCs/>
                <w:sz w:val="22"/>
                <w:szCs w:val="22"/>
              </w:rPr>
              <w:t>suma Eur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Obsahtabuky"/>
              <w:widowControl w:val="false"/>
              <w:jc w:val="center"/>
              <w:rPr/>
            </w:pPr>
            <w:r>
              <w:rPr>
                <w:rFonts w:cs="Calibri" w:ascii="Calibri" w:hAnsi="Calibri"/>
                <w:b/>
                <w:bCs/>
                <w:sz w:val="22"/>
                <w:szCs w:val="22"/>
              </w:rPr>
              <w:t>Dátum vystavenia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Obsahtabuky"/>
              <w:widowControl w:val="false"/>
              <w:jc w:val="center"/>
              <w:rPr/>
            </w:pPr>
            <w:r>
              <w:rPr>
                <w:rFonts w:cs="Calibri" w:ascii="Calibri" w:hAnsi="Calibri"/>
                <w:b/>
                <w:bCs/>
                <w:sz w:val="22"/>
                <w:szCs w:val="22"/>
              </w:rPr>
              <w:t>Číslo faktúry</w:t>
            </w:r>
          </w:p>
          <w:p>
            <w:pPr>
              <w:pStyle w:val="Obsahtabuky"/>
              <w:widowControl w:val="false"/>
              <w:jc w:val="center"/>
              <w:rPr/>
            </w:pPr>
            <w:r>
              <w:rPr>
                <w:rFonts w:cs="Calibri" w:ascii="Calibri" w:hAnsi="Calibri"/>
                <w:b/>
                <w:bCs/>
                <w:sz w:val="22"/>
                <w:szCs w:val="22"/>
              </w:rPr>
              <w:t>dodávateľa</w:t>
            </w:r>
          </w:p>
        </w:tc>
        <w:tc>
          <w:tcPr>
            <w:tcW w:w="2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Obsahtabuky"/>
              <w:widowControl w:val="false"/>
              <w:jc w:val="center"/>
              <w:rPr/>
            </w:pPr>
            <w:r>
              <w:rPr>
                <w:rFonts w:cs="Calibri" w:ascii="Calibri" w:hAnsi="Calibri"/>
                <w:b/>
                <w:bCs/>
                <w:sz w:val="22"/>
                <w:szCs w:val="22"/>
              </w:rPr>
              <w:t>Poznámka</w:t>
            </w:r>
          </w:p>
        </w:tc>
      </w:tr>
      <w:tr>
        <w:trPr/>
        <w:tc>
          <w:tcPr>
            <w:tcW w:w="107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Obsahtabuky"/>
              <w:widowControl w:val="false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33</w:t>
            </w:r>
            <w:r>
              <w:rPr>
                <w:rFonts w:cs="Calibri" w:ascii="Calibri" w:hAnsi="Calibri"/>
                <w:sz w:val="22"/>
                <w:szCs w:val="22"/>
              </w:rPr>
              <w:t>/202</w:t>
            </w:r>
            <w:r>
              <w:rPr>
                <w:rFonts w:cs="Calibri" w:ascii="Calibri" w:hAnsi="Calibri"/>
                <w:sz w:val="22"/>
                <w:szCs w:val="22"/>
              </w:rPr>
              <w:t>2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Obsahtabuky"/>
              <w:widowControl w:val="false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Slovak Telekom, a.s.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Obsahtabuky"/>
              <w:widowControl w:val="false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66,08</w:t>
            </w:r>
            <w:r>
              <w:rPr>
                <w:rFonts w:cs="Calibri" w:ascii="Calibri" w:hAnsi="Calibri"/>
                <w:sz w:val="22"/>
                <w:szCs w:val="22"/>
              </w:rPr>
              <w:t xml:space="preserve"> €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Obsahtabuky"/>
              <w:widowControl w:val="false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0</w:t>
            </w:r>
            <w:r>
              <w:rPr>
                <w:rFonts w:cs="Calibri" w:ascii="Calibri" w:hAnsi="Calibri"/>
                <w:sz w:val="22"/>
                <w:szCs w:val="22"/>
              </w:rPr>
              <w:t>6</w:t>
            </w:r>
            <w:r>
              <w:rPr>
                <w:rFonts w:cs="Calibri" w:ascii="Calibri" w:hAnsi="Calibri"/>
                <w:sz w:val="22"/>
                <w:szCs w:val="22"/>
              </w:rPr>
              <w:t>.0</w:t>
            </w:r>
            <w:r>
              <w:rPr>
                <w:rFonts w:cs="Calibri" w:ascii="Calibri" w:hAnsi="Calibri"/>
                <w:sz w:val="22"/>
                <w:szCs w:val="22"/>
              </w:rPr>
              <w:t>6</w:t>
            </w:r>
            <w:r>
              <w:rPr>
                <w:rFonts w:cs="Calibri" w:ascii="Calibri" w:hAnsi="Calibri"/>
                <w:sz w:val="22"/>
                <w:szCs w:val="22"/>
              </w:rPr>
              <w:t>.202</w:t>
            </w:r>
            <w:r>
              <w:rPr>
                <w:rFonts w:cs="Calibri" w:ascii="Calibri" w:hAnsi="Calibri"/>
                <w:sz w:val="22"/>
                <w:szCs w:val="22"/>
              </w:rPr>
              <w:t>2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Obsahtabuky"/>
              <w:widowControl w:val="false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8</w:t>
            </w:r>
            <w:r>
              <w:rPr>
                <w:rFonts w:cs="Calibri" w:ascii="Calibri" w:hAnsi="Calibri"/>
                <w:sz w:val="22"/>
                <w:szCs w:val="22"/>
              </w:rPr>
              <w:t>30</w:t>
            </w:r>
            <w:r>
              <w:rPr>
                <w:rFonts w:cs="Calibri" w:ascii="Calibri" w:hAnsi="Calibri"/>
                <w:sz w:val="22"/>
                <w:szCs w:val="22"/>
              </w:rPr>
              <w:t>7387054</w:t>
            </w:r>
          </w:p>
        </w:tc>
        <w:tc>
          <w:tcPr>
            <w:tcW w:w="23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Obsahtabuky"/>
              <w:widowControl w:val="false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Tel. hovory</w:t>
            </w:r>
          </w:p>
        </w:tc>
      </w:tr>
      <w:tr>
        <w:trPr/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Obsahtabuky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34</w:t>
            </w:r>
            <w:r>
              <w:rPr>
                <w:rFonts w:cs="Calibri" w:ascii="Calibri" w:hAnsi="Calibri"/>
                <w:sz w:val="22"/>
                <w:szCs w:val="22"/>
              </w:rPr>
              <w:t>/202</w:t>
            </w:r>
            <w:r>
              <w:rPr>
                <w:rFonts w:cs="Calibri" w:ascii="Calibri" w:hAnsi="Calibri"/>
                <w:sz w:val="22"/>
                <w:szCs w:val="22"/>
              </w:rPr>
              <w:t>2</w:t>
            </w:r>
          </w:p>
        </w:tc>
        <w:tc>
          <w:tcPr>
            <w:tcW w:w="2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Obsahtabuky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URBÁNI &amp; Partners</w:t>
            </w:r>
            <w:r>
              <w:rPr>
                <w:rFonts w:cs="Calibri" w:ascii="Calibri" w:hAnsi="Calibri"/>
                <w:sz w:val="22"/>
                <w:szCs w:val="22"/>
              </w:rPr>
              <w:t>,s.r.o.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Obsahtabuky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50,40</w:t>
            </w:r>
            <w:r>
              <w:rPr>
                <w:rFonts w:cs="Calibri" w:ascii="Calibri" w:hAnsi="Calibri"/>
                <w:sz w:val="22"/>
                <w:szCs w:val="22"/>
              </w:rPr>
              <w:t xml:space="preserve"> €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Obsahtabuky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0</w:t>
            </w:r>
            <w:r>
              <w:rPr>
                <w:rFonts w:cs="Calibri" w:ascii="Calibri" w:hAnsi="Calibri"/>
                <w:sz w:val="22"/>
                <w:szCs w:val="22"/>
              </w:rPr>
              <w:t>6</w:t>
            </w:r>
            <w:r>
              <w:rPr>
                <w:rFonts w:cs="Calibri" w:ascii="Calibri" w:hAnsi="Calibri"/>
                <w:sz w:val="22"/>
                <w:szCs w:val="22"/>
              </w:rPr>
              <w:t>.0</w:t>
            </w:r>
            <w:r>
              <w:rPr>
                <w:rFonts w:cs="Calibri" w:ascii="Calibri" w:hAnsi="Calibri"/>
                <w:sz w:val="22"/>
                <w:szCs w:val="22"/>
              </w:rPr>
              <w:t>6</w:t>
            </w:r>
            <w:r>
              <w:rPr>
                <w:rFonts w:cs="Calibri" w:ascii="Calibri" w:hAnsi="Calibri"/>
                <w:sz w:val="22"/>
                <w:szCs w:val="22"/>
              </w:rPr>
              <w:t>.202</w:t>
            </w:r>
            <w:r>
              <w:rPr>
                <w:rFonts w:cs="Calibri" w:ascii="Calibri" w:hAnsi="Calibri"/>
                <w:sz w:val="22"/>
                <w:szCs w:val="22"/>
              </w:rPr>
              <w:t>2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Obsahtabuky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2200570</w:t>
            </w:r>
          </w:p>
        </w:tc>
        <w:tc>
          <w:tcPr>
            <w:tcW w:w="2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Obsahtabuky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Pauš.odm. Právne sl.04/22</w:t>
            </w:r>
          </w:p>
        </w:tc>
      </w:tr>
      <w:tr>
        <w:trPr/>
        <w:tc>
          <w:tcPr>
            <w:tcW w:w="107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Obsahtabuky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35/2022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Obsahtabuky"/>
              <w:widowControl w:val="false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Marius Pedersen, a.s.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Obsahtabuky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eastAsia="Liberation Serif" w:cs="Liberation Serif" w:ascii="Liberation Serif" w:hAnsi="Liberation Serif"/>
                <w:sz w:val="22"/>
                <w:szCs w:val="22"/>
              </w:rPr>
              <w:t>160,04€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Obsahtabuky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07.06.2022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Obsahtabuky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3132221249</w:t>
            </w:r>
          </w:p>
        </w:tc>
        <w:tc>
          <w:tcPr>
            <w:tcW w:w="23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Obsahtabuky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Výv.smetí+uskl.(14.4.22)</w:t>
            </w:r>
          </w:p>
        </w:tc>
      </w:tr>
      <w:tr>
        <w:trPr>
          <w:trHeight w:val="420" w:hRule="atLeast"/>
        </w:trPr>
        <w:tc>
          <w:tcPr>
            <w:tcW w:w="107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Obsahtabuky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36/2022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Obsahtabuky"/>
              <w:widowControl w:val="false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Slovak Telekom, a.s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Obsahtabuky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 xml:space="preserve">2,00 </w:t>
            </w:r>
            <w:r>
              <w:rPr>
                <w:rFonts w:eastAsia="Liberation Serif" w:cs="Liberation Serif" w:ascii="Liberation Serif" w:hAnsi="Liberation Serif"/>
                <w:sz w:val="22"/>
                <w:szCs w:val="22"/>
              </w:rPr>
              <w:t>€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Obsahtabuky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09.06.2022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Obsahtabuky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83007456373</w:t>
            </w:r>
          </w:p>
        </w:tc>
        <w:tc>
          <w:tcPr>
            <w:tcW w:w="23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Obsahtabuky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Tel. hovory</w:t>
            </w:r>
          </w:p>
        </w:tc>
      </w:tr>
      <w:tr>
        <w:trPr>
          <w:trHeight w:val="420" w:hRule="atLeast"/>
        </w:trPr>
        <w:tc>
          <w:tcPr>
            <w:tcW w:w="107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Obsahtabuky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37/2022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Obsahtabuky"/>
              <w:widowControl w:val="false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Centr.prvého kont.pre podn.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Obsahtabuky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 xml:space="preserve">400,00 </w:t>
            </w:r>
            <w:r>
              <w:rPr>
                <w:rFonts w:eastAsia="Liberation Serif" w:cs="Liberation Serif" w:ascii="Liberation Serif" w:hAnsi="Liberation Serif"/>
                <w:sz w:val="22"/>
                <w:szCs w:val="22"/>
              </w:rPr>
              <w:t>€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Obsahtabuky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17.06.2022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Obsahtabuky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2022056</w:t>
            </w:r>
          </w:p>
        </w:tc>
        <w:tc>
          <w:tcPr>
            <w:tcW w:w="23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Obsahtabuky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Vyprac. PHSR obce r.2022-2030</w:t>
            </w:r>
          </w:p>
        </w:tc>
      </w:tr>
      <w:tr>
        <w:trPr>
          <w:trHeight w:val="477" w:hRule="atLeast"/>
        </w:trPr>
        <w:tc>
          <w:tcPr>
            <w:tcW w:w="107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Obsahtabuky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38/2022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Obsahtabuky"/>
              <w:widowControl w:val="false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OLYMP ERBY s.r.o.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Obsahtabuky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 xml:space="preserve">371,88 </w:t>
            </w:r>
            <w:r>
              <w:rPr>
                <w:rFonts w:eastAsia="Liberation Serif" w:cs="Liberation Serif" w:ascii="Liberation Serif" w:hAnsi="Liberation Serif"/>
                <w:sz w:val="22"/>
                <w:szCs w:val="22"/>
              </w:rPr>
              <w:t>€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Obsahtabuky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20.06.2022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Obsahtabuky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7182022</w:t>
            </w:r>
          </w:p>
        </w:tc>
        <w:tc>
          <w:tcPr>
            <w:tcW w:w="23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Obsahtabuky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Reprez. výdavky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erif">
    <w:altName w:val="Times New Roman"/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89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k-SK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22828"/>
    <w:pPr>
      <w:widowControl/>
      <w:suppressAutoHyphens w:val="true"/>
      <w:overflowPunct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eastAsia="zh-CN" w:bidi="hi-IN" w:val="sk-SK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Obsahtabuky" w:customStyle="1">
    <w:name w:val="Obsah tabuľky"/>
    <w:basedOn w:val="Normal"/>
    <w:qFormat/>
    <w:rsid w:val="00822828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Application>LibreOffice/7.1.1.2$Windows_X86_64 LibreOffice_project/fe0b08f4af1bacafe4c7ecc87ce55bb426164676</Application>
  <AppVersion>15.0000</AppVersion>
  <Pages>1</Pages>
  <Words>78</Words>
  <Characters>520</Characters>
  <CharactersWithSpaces>552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2021-03-12T21:56:00Z</dcterms:created>
  <dc:creator>Používateľ systému Windows</dc:creator>
  <dc:description/>
  <dc:language>sk-SK</dc:language>
  <cp:lastModifiedBy/>
  <dcterms:modified xsi:type="dcterms:W3CDTF">2022-10-10T21:11:55Z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