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>Faktúry – November 2023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76/2023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color w:val="auto"/>
                <w:kern w:val="2"/>
                <w:sz w:val="22"/>
                <w:szCs w:val="22"/>
                <w:lang w:val="sk-SK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2"/>
                <w:szCs w:val="22"/>
                <w:lang w:val="sk-SK" w:eastAsia="zh-CN" w:bidi="hi-IN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60,00 €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03.11.2023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2301049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Právne sl., pauš. Odm. </w:t>
            </w: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77/2023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70,88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06.11.2023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8338049374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78/2023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87,19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07.11.2023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3132232646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uskl.(10/23)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79/2023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09.11.2023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8338318616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80/2023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GEOMERKART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531,10 </w:t>
            </w:r>
            <w:r>
              <w:rPr>
                <w:rFonts w:eastAsia="Liberation Serif" w:cs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21.11.2023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2311002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Geometr. Plán č. 96/2023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81/2023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Webex digital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60,00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21.11.2023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232941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SSL certifikát www.malacalomija.sk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LibreOffice/7.1.1.2$Windows_X86_64 LibreOffice_project/fe0b08f4af1bacafe4c7ecc87ce55bb426164676</Application>
  <AppVersion>15.0000</AppVersion>
  <Pages>1</Pages>
  <Words>82</Words>
  <Characters>531</Characters>
  <CharactersWithSpaces>569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2024-05-30T22:26:39Z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